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5181235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Style w:val="Style_1"/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ШМО учителей </w:t>
            </w:r>
            <w:r>
              <w:rPr>
                <w:rFonts w:ascii="Times New Roman" w:hAnsi="Times New Roman"/>
                <w:color w:val="000000"/>
                <w:sz w:val="28"/>
              </w:rPr>
              <w:t>естественно-математического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(ID 730422)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курса «Вероятность и статистика»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 w:firstLine="0" w:left="120"/>
        <w:jc w:val="center"/>
      </w:pPr>
    </w:p>
    <w:p w14:paraId="2D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056d9d5c-b2bc-4133-b8cf-f3db506692dc"/>
      <w:bookmarkEnd w:id="2"/>
      <w:r>
        <w:rPr>
          <w:rFonts w:ascii="Times New Roman" w:hAnsi="Times New Roman"/>
          <w:b w:val="1"/>
          <w:color w:val="000000"/>
          <w:sz w:val="28"/>
        </w:rPr>
        <w:t>с</w:t>
      </w:r>
      <w:r>
        <w:rPr>
          <w:rFonts w:ascii="Times New Roman" w:hAnsi="Times New Roman"/>
          <w:b w:val="1"/>
          <w:color w:val="000000"/>
          <w:sz w:val="28"/>
        </w:rPr>
        <w:t>.А</w:t>
      </w:r>
      <w:r>
        <w:rPr>
          <w:rFonts w:ascii="Times New Roman" w:hAnsi="Times New Roman"/>
          <w:b w:val="1"/>
          <w:color w:val="000000"/>
          <w:sz w:val="28"/>
        </w:rPr>
        <w:t>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7c791777-c725-4234-9ae7-a684b7e75e81"/>
      <w:bookmarkEnd w:id="3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E000000">
      <w:pPr>
        <w:spacing w:after="0" w:line="264" w:lineRule="auto"/>
        <w:ind w:firstLine="0" w:left="120"/>
        <w:jc w:val="both"/>
      </w:pPr>
      <w:bookmarkStart w:id="4" w:name="block-5181234"/>
      <w:bookmarkEnd w:id="4"/>
    </w:p>
    <w:p w14:paraId="2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0000000">
      <w:pPr>
        <w:spacing w:after="0" w:line="264" w:lineRule="auto"/>
        <w:ind w:firstLine="0" w:left="120"/>
        <w:jc w:val="both"/>
      </w:pPr>
    </w:p>
    <w:p w14:paraId="3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современном цифровом мире вероятность </w:t>
      </w:r>
      <w:r>
        <w:rPr>
          <w:rFonts w:ascii="Times New Roman" w:hAnsi="Times New Roman"/>
          <w:color w:val="000000"/>
          <w:sz w:val="28"/>
        </w:rPr>
        <w:t>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</w:t>
      </w:r>
      <w:r>
        <w:rPr>
          <w:rFonts w:ascii="Times New Roman" w:hAnsi="Times New Roman"/>
          <w:color w:val="000000"/>
          <w:sz w:val="28"/>
        </w:rPr>
        <w:t>ности и статистики, такая подготовка важна для продолжения образования и для успешной профессиональной карьеры.</w:t>
      </w:r>
    </w:p>
    <w:p w14:paraId="3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</w:t>
      </w:r>
      <w:r>
        <w:rPr>
          <w:rFonts w:ascii="Times New Roman" w:hAnsi="Times New Roman"/>
          <w:color w:val="000000"/>
          <w:sz w:val="28"/>
        </w:rPr>
        <w:t xml:space="preserve">ытка информации </w:t>
      </w:r>
      <w:r>
        <w:rPr>
          <w:rFonts w:ascii="Times New Roman" w:hAnsi="Times New Roman"/>
          <w:color w:val="000000"/>
          <w:sz w:val="28"/>
        </w:rPr>
        <w:t>необходимо</w:t>
      </w:r>
      <w:r>
        <w:rPr>
          <w:rFonts w:ascii="Times New Roman" w:hAnsi="Times New Roman"/>
          <w:color w:val="000000"/>
          <w:sz w:val="28"/>
        </w:rPr>
        <w:t xml:space="preserve"> в том числе хорошо сформированное вероятностное и статистическое мышление.</w:t>
      </w:r>
    </w:p>
    <w:p w14:paraId="3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</w:t>
      </w:r>
      <w:r>
        <w:rPr>
          <w:rFonts w:ascii="Times New Roman" w:hAnsi="Times New Roman"/>
          <w:color w:val="000000"/>
          <w:sz w:val="28"/>
        </w:rPr>
        <w:t xml:space="preserve">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Знакомство в учебном курсе с основными прин</w:t>
      </w:r>
      <w:r>
        <w:rPr>
          <w:rFonts w:ascii="Times New Roman" w:hAnsi="Times New Roman"/>
          <w:color w:val="000000"/>
          <w:sz w:val="28"/>
        </w:rPr>
        <w:t>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</w:t>
      </w:r>
      <w:r>
        <w:rPr>
          <w:rFonts w:ascii="Times New Roman" w:hAnsi="Times New Roman"/>
          <w:color w:val="000000"/>
          <w:sz w:val="28"/>
        </w:rPr>
        <w:t>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</w:t>
      </w:r>
      <w:r>
        <w:rPr>
          <w:rFonts w:ascii="Times New Roman" w:hAnsi="Times New Roman"/>
          <w:color w:val="000000"/>
          <w:sz w:val="28"/>
        </w:rPr>
        <w:t xml:space="preserve">ра и методах его исследования, формируется понимание роли статистики как источника социально значимой </w:t>
      </w:r>
      <w:r>
        <w:rPr>
          <w:rFonts w:ascii="Times New Roman" w:hAnsi="Times New Roman"/>
          <w:color w:val="000000"/>
          <w:sz w:val="28"/>
        </w:rPr>
        <w:t>информации</w:t>
      </w:r>
      <w:r>
        <w:rPr>
          <w:rFonts w:ascii="Times New Roman" w:hAnsi="Times New Roman"/>
          <w:color w:val="000000"/>
          <w:sz w:val="28"/>
        </w:rPr>
        <w:t xml:space="preserve"> и закладываются основы вероятностного мышления.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</w:t>
      </w:r>
      <w:r>
        <w:rPr>
          <w:rFonts w:ascii="Times New Roman" w:hAnsi="Times New Roman"/>
          <w:color w:val="000000"/>
          <w:sz w:val="28"/>
        </w:rPr>
        <w:t xml:space="preserve">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</w:t>
      </w:r>
      <w:r>
        <w:rPr>
          <w:rFonts w:ascii="Times New Roman" w:hAnsi="Times New Roman"/>
          <w:color w:val="000000"/>
          <w:sz w:val="28"/>
        </w:rPr>
        <w:t>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</w:t>
      </w:r>
      <w:r>
        <w:rPr>
          <w:rFonts w:ascii="Times New Roman" w:hAnsi="Times New Roman"/>
          <w:color w:val="000000"/>
          <w:sz w:val="28"/>
        </w:rPr>
        <w:t xml:space="preserve">них и рассеивания. Работая с данными, обучающиеся учатся считывать и интерпретировать </w:t>
      </w:r>
      <w:r>
        <w:rPr>
          <w:rFonts w:ascii="Times New Roman" w:hAnsi="Times New Roman"/>
          <w:color w:val="000000"/>
          <w:sz w:val="28"/>
        </w:rPr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</w:t>
      </w:r>
      <w:r>
        <w:rPr>
          <w:rFonts w:ascii="Times New Roman" w:hAnsi="Times New Roman"/>
          <w:color w:val="000000"/>
          <w:sz w:val="28"/>
        </w:rPr>
        <w:t>ны и процессы.</w:t>
      </w:r>
    </w:p>
    <w:p w14:paraId="3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</w:t>
      </w:r>
      <w:r>
        <w:rPr>
          <w:rFonts w:ascii="Times New Roman" w:hAnsi="Times New Roman"/>
          <w:color w:val="000000"/>
          <w:sz w:val="28"/>
        </w:rPr>
        <w:t>оятностными моделями.</w:t>
      </w:r>
    </w:p>
    <w:p w14:paraId="3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</w:t>
      </w:r>
      <w:r>
        <w:rPr>
          <w:rFonts w:ascii="Times New Roman" w:hAnsi="Times New Roman"/>
          <w:color w:val="000000"/>
          <w:sz w:val="28"/>
        </w:rPr>
        <w:t>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3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рамках учебного курса осуществляется знакомство обучающихся с множествами </w:t>
      </w:r>
      <w:r>
        <w:rPr>
          <w:rFonts w:ascii="Times New Roman" w:hAnsi="Times New Roman"/>
          <w:color w:val="000000"/>
          <w:sz w:val="28"/>
        </w:rPr>
        <w:t>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</w:t>
      </w:r>
      <w:r>
        <w:rPr>
          <w:rFonts w:ascii="Times New Roman" w:hAnsi="Times New Roman"/>
          <w:color w:val="000000"/>
          <w:sz w:val="28"/>
        </w:rPr>
        <w:t>ы: «Представление данных и описательная статистика», «Вероятность», «Элементы комбинаторики», «Введение в теорию графов».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‌‌‌</w:t>
      </w:r>
      <w:bookmarkStart w:id="5" w:name="b3c9237e-6172-48ee-b1c7-f6774da89513"/>
      <w:bookmarkEnd w:id="5"/>
      <w:r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</w:t>
      </w:r>
      <w:r>
        <w:rPr>
          <w:rFonts w:ascii="Times New Roman" w:hAnsi="Times New Roman"/>
          <w:color w:val="000000"/>
          <w:sz w:val="28"/>
        </w:rPr>
        <w:t>са (1 час в неделю), в 9 классе – 34 часа (1 час в неделю).</w:t>
      </w:r>
      <w:r>
        <w:rPr>
          <w:rFonts w:ascii="Times New Roman" w:hAnsi="Times New Roman"/>
          <w:color w:val="000000"/>
          <w:sz w:val="28"/>
        </w:rPr>
        <w:t>‌‌</w:t>
      </w:r>
    </w:p>
    <w:p w14:paraId="3C000000">
      <w:pPr>
        <w:spacing w:after="0" w:line="264" w:lineRule="auto"/>
        <w:ind w:firstLine="0" w:left="120"/>
        <w:jc w:val="both"/>
      </w:pPr>
      <w:bookmarkStart w:id="6" w:name="block-5181229"/>
      <w:bookmarkEnd w:id="6"/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 w14:paraId="3D000000">
      <w:pPr>
        <w:spacing w:after="0" w:line="264" w:lineRule="auto"/>
        <w:ind w:firstLine="0" w:left="120"/>
        <w:jc w:val="both"/>
      </w:pPr>
    </w:p>
    <w:p w14:paraId="3E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7 КЛАСС</w:t>
      </w:r>
    </w:p>
    <w:p w14:paraId="3F000000">
      <w:pPr>
        <w:spacing w:after="0" w:line="264" w:lineRule="auto"/>
        <w:ind w:firstLine="0" w:left="120"/>
        <w:jc w:val="both"/>
      </w:pPr>
    </w:p>
    <w:p w14:paraId="4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</w:t>
      </w:r>
      <w:r>
        <w:rPr>
          <w:rFonts w:ascii="Times New Roman" w:hAnsi="Times New Roman"/>
          <w:color w:val="000000"/>
          <w:sz w:val="28"/>
        </w:rPr>
        <w:t xml:space="preserve"> реальных процессов. Извлечение информации из диаграмм и таблиц, использование и интерпретация данных.</w:t>
      </w:r>
    </w:p>
    <w:p w14:paraId="4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</w:t>
      </w:r>
      <w:r>
        <w:rPr>
          <w:rFonts w:ascii="Times New Roman" w:hAnsi="Times New Roman"/>
          <w:color w:val="000000"/>
          <w:sz w:val="28"/>
        </w:rPr>
        <w:t>.</w:t>
      </w:r>
    </w:p>
    <w:p w14:paraId="4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4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</w:t>
      </w:r>
      <w:r>
        <w:rPr>
          <w:rFonts w:ascii="Times New Roman" w:hAnsi="Times New Roman"/>
          <w:color w:val="000000"/>
          <w:sz w:val="28"/>
        </w:rPr>
        <w:t>марная степень вершин. Представление о связности графа. Цепи и циклы. Пути в графах. Обход графа (</w:t>
      </w:r>
      <w:r>
        <w:rPr>
          <w:rFonts w:ascii="Times New Roman" w:hAnsi="Times New Roman"/>
          <w:color w:val="000000"/>
          <w:sz w:val="28"/>
        </w:rPr>
        <w:t>эйлеров</w:t>
      </w:r>
      <w:r>
        <w:rPr>
          <w:rFonts w:ascii="Times New Roman" w:hAnsi="Times New Roman"/>
          <w:color w:val="000000"/>
          <w:sz w:val="28"/>
        </w:rPr>
        <w:t xml:space="preserve"> путь). Представление об ориентированном графе. Решение задач с помощью графов.</w:t>
      </w:r>
    </w:p>
    <w:p w14:paraId="44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8 КЛАСС</w:t>
      </w:r>
    </w:p>
    <w:p w14:paraId="4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14:paraId="4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Множес</w:t>
      </w:r>
      <w:r>
        <w:rPr>
          <w:rFonts w:ascii="Times New Roman" w:hAnsi="Times New Roman"/>
          <w:color w:val="000000"/>
          <w:sz w:val="28"/>
        </w:rPr>
        <w:t>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r>
        <w:rPr>
          <w:rFonts w:ascii="Times New Roman" w:hAnsi="Times New Roman"/>
          <w:color w:val="000000"/>
          <w:sz w:val="28"/>
        </w:rPr>
        <w:t>ств дл</w:t>
      </w:r>
      <w:r>
        <w:rPr>
          <w:rFonts w:ascii="Times New Roman" w:hAnsi="Times New Roman"/>
          <w:color w:val="000000"/>
          <w:sz w:val="28"/>
        </w:rPr>
        <w:t>я оп</w:t>
      </w:r>
      <w:r>
        <w:rPr>
          <w:rFonts w:ascii="Times New Roman" w:hAnsi="Times New Roman"/>
          <w:color w:val="000000"/>
          <w:sz w:val="28"/>
        </w:rPr>
        <w:t>исания реальных процессов и явлений, при решении задач.</w:t>
      </w:r>
    </w:p>
    <w:p w14:paraId="4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</w:t>
      </w:r>
      <w:r>
        <w:rPr>
          <w:rFonts w:ascii="Times New Roman" w:hAnsi="Times New Roman"/>
          <w:color w:val="000000"/>
          <w:sz w:val="28"/>
        </w:rPr>
        <w:t>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Дерево. Свойства деревьев: единственность пути, существование висячей вершины, связь между числом вершин и </w:t>
      </w:r>
      <w:r>
        <w:rPr>
          <w:rFonts w:ascii="Times New Roman" w:hAnsi="Times New Roman"/>
          <w:color w:val="000000"/>
          <w:sz w:val="28"/>
        </w:rPr>
        <w:t>числом рёбер. Правило умножения. Решение задач с помощью графов.</w:t>
      </w:r>
    </w:p>
    <w:p w14:paraId="4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</w:t>
      </w:r>
      <w:r>
        <w:rPr>
          <w:rFonts w:ascii="Times New Roman" w:hAnsi="Times New Roman"/>
          <w:color w:val="000000"/>
          <w:sz w:val="28"/>
        </w:rPr>
        <w:t>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4B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9 КЛАСС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</w:t>
      </w:r>
      <w:r>
        <w:rPr>
          <w:rFonts w:ascii="Times New Roman" w:hAnsi="Times New Roman"/>
          <w:color w:val="000000"/>
          <w:sz w:val="28"/>
        </w:rPr>
        <w:t>ц, диаграмм, графиков по реальным данным.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</w:t>
      </w:r>
      <w:r>
        <w:rPr>
          <w:rFonts w:ascii="Times New Roman" w:hAnsi="Times New Roman"/>
          <w:color w:val="000000"/>
          <w:sz w:val="28"/>
        </w:rPr>
        <w:t>ги окружности.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Испытание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Успех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неудача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Серия испытаний до первого успеха. Серия испытаний Бернулли. Вероятности событий в серии испытаний Бернулли.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</w:t>
      </w:r>
      <w:r>
        <w:rPr>
          <w:rFonts w:ascii="Times New Roman" w:hAnsi="Times New Roman"/>
          <w:color w:val="000000"/>
          <w:sz w:val="28"/>
        </w:rPr>
        <w:t xml:space="preserve">ского ожидания как </w:t>
      </w:r>
      <w:r>
        <w:rPr>
          <w:rFonts w:ascii="Times New Roman" w:hAnsi="Times New Roman"/>
          <w:color w:val="000000"/>
          <w:sz w:val="28"/>
        </w:rPr>
        <w:t>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5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</w:t>
      </w:r>
      <w:r>
        <w:rPr>
          <w:rFonts w:ascii="Times New Roman" w:hAnsi="Times New Roman"/>
          <w:color w:val="000000"/>
          <w:sz w:val="28"/>
        </w:rPr>
        <w:t xml:space="preserve"> больших чисел в природе и обществе.</w:t>
      </w:r>
    </w:p>
    <w:p w14:paraId="52000000">
      <w:pPr>
        <w:spacing w:after="0" w:line="264" w:lineRule="auto"/>
        <w:ind w:firstLine="0" w:left="120"/>
        <w:jc w:val="both"/>
      </w:pPr>
      <w:bookmarkStart w:id="7" w:name="block-5181230"/>
      <w:bookmarkEnd w:id="7"/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53000000">
      <w:pPr>
        <w:spacing w:after="0" w:line="264" w:lineRule="auto"/>
        <w:ind w:firstLine="0" w:left="120"/>
        <w:jc w:val="both"/>
      </w:pPr>
    </w:p>
    <w:p w14:paraId="54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55000000">
      <w:pPr>
        <w:spacing w:after="0" w:line="264" w:lineRule="auto"/>
        <w:ind w:firstLine="0" w:left="120"/>
        <w:jc w:val="both"/>
      </w:pP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«Вероятнос</w:t>
      </w:r>
      <w:r>
        <w:rPr>
          <w:rFonts w:ascii="Times New Roman" w:hAnsi="Times New Roman"/>
          <w:color w:val="000000"/>
          <w:sz w:val="28"/>
        </w:rPr>
        <w:t>ть и статистика» характеризуются: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1) патриотическое воспитание: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</w:t>
      </w:r>
      <w:r>
        <w:rPr>
          <w:rFonts w:ascii="Times New Roman" w:hAnsi="Times New Roman"/>
          <w:color w:val="000000"/>
          <w:sz w:val="28"/>
        </w:rPr>
        <w:t>й в других науках и прикладных сферах;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2) гражданское и духовно-нравственное воспитание:</w:t>
      </w:r>
    </w:p>
    <w:p w14:paraId="5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</w:t>
      </w:r>
      <w:r>
        <w:rPr>
          <w:rFonts w:ascii="Times New Roman" w:hAnsi="Times New Roman"/>
          <w:color w:val="000000"/>
          <w:sz w:val="28"/>
        </w:rPr>
        <w:t>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3) трудовое воспитание:</w:t>
      </w:r>
    </w:p>
    <w:p w14:paraId="5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установкой</w:t>
      </w:r>
      <w:r>
        <w:rPr>
          <w:rFonts w:ascii="Times New Roman" w:hAnsi="Times New Roman"/>
          <w:color w:val="000000"/>
          <w:sz w:val="28"/>
        </w:rPr>
        <w:t xml:space="preserve">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</w:t>
      </w:r>
      <w:r>
        <w:rPr>
          <w:rFonts w:ascii="Times New Roman" w:hAnsi="Times New Roman"/>
          <w:color w:val="000000"/>
          <w:sz w:val="28"/>
        </w:rPr>
        <w:t>ением индивидуальной траектории образования и жизненных планов с учётом личных интересов и общественных потребностей;</w:t>
      </w:r>
    </w:p>
    <w:p w14:paraId="5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4) эстетическое воспитание:</w:t>
      </w:r>
    </w:p>
    <w:p w14:paraId="5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</w:t>
      </w:r>
      <w:r>
        <w:rPr>
          <w:rFonts w:ascii="Times New Roman" w:hAnsi="Times New Roman"/>
          <w:color w:val="000000"/>
          <w:sz w:val="28"/>
        </w:rPr>
        <w:t xml:space="preserve"> умению видеть математические закономерности в искусстве;</w:t>
      </w:r>
    </w:p>
    <w:p w14:paraId="5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5) ценности научного познания:</w:t>
      </w: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</w:t>
      </w:r>
      <w:r>
        <w:rPr>
          <w:rFonts w:ascii="Times New Roman" w:hAnsi="Times New Roman"/>
          <w:color w:val="000000"/>
          <w:sz w:val="28"/>
        </w:rPr>
        <w:t xml:space="preserve">уки как сферы человеческой </w:t>
      </w:r>
      <w:r>
        <w:rPr>
          <w:rFonts w:ascii="Times New Roman" w:hAnsi="Times New Roman"/>
          <w:color w:val="000000"/>
          <w:sz w:val="28"/>
        </w:rPr>
        <w:t>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6) </w:t>
      </w:r>
      <w:r>
        <w:rPr>
          <w:rFonts w:ascii="Times New Roman" w:hAnsi="Times New Roman"/>
          <w:b w:val="1"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</w:t>
      </w:r>
      <w:r>
        <w:rPr>
          <w:rFonts w:ascii="Times New Roman" w:hAnsi="Times New Roman"/>
          <w:color w:val="000000"/>
          <w:sz w:val="28"/>
        </w:rPr>
        <w:t xml:space="preserve">ная физическая активность), </w:t>
      </w:r>
      <w:r>
        <w:rPr>
          <w:rFonts w:ascii="Times New Roman" w:hAnsi="Times New Roman"/>
          <w:color w:val="000000"/>
          <w:sz w:val="28"/>
        </w:rPr>
        <w:t>сформированностью</w:t>
      </w:r>
      <w:r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7) экологическое воспитание: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</w:t>
      </w:r>
      <w:r>
        <w:rPr>
          <w:rFonts w:ascii="Times New Roman" w:hAnsi="Times New Roman"/>
          <w:color w:val="000000"/>
          <w:sz w:val="28"/>
        </w:rPr>
        <w:t>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8) адаптация к изменяющимся условиям социальной и природной среды: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</w:t>
      </w:r>
      <w:r>
        <w:rPr>
          <w:rFonts w:ascii="Times New Roman" w:hAnsi="Times New Roman"/>
          <w:color w:val="000000"/>
          <w:sz w:val="28"/>
        </w:rPr>
        <w:t>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</w:t>
      </w:r>
      <w:r>
        <w:rPr>
          <w:rFonts w:ascii="Times New Roman" w:hAnsi="Times New Roman"/>
          <w:color w:val="000000"/>
          <w:sz w:val="28"/>
        </w:rPr>
        <w:t>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</w:t>
      </w:r>
      <w:r>
        <w:rPr>
          <w:rFonts w:ascii="Times New Roman" w:hAnsi="Times New Roman"/>
          <w:color w:val="000000"/>
          <w:sz w:val="28"/>
        </w:rPr>
        <w:t>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6A000000">
      <w:pPr>
        <w:spacing w:after="0" w:line="264" w:lineRule="auto"/>
        <w:ind w:firstLine="0" w:left="120"/>
        <w:jc w:val="both"/>
      </w:pPr>
    </w:p>
    <w:p w14:paraId="6B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6C000000">
      <w:pPr>
        <w:spacing w:after="0" w:line="264" w:lineRule="auto"/>
        <w:ind w:firstLine="0" w:left="120"/>
        <w:jc w:val="both"/>
      </w:pPr>
    </w:p>
    <w:p w14:paraId="6D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</w:t>
      </w:r>
      <w:r>
        <w:rPr>
          <w:rFonts w:ascii="Times New Roman" w:hAnsi="Times New Roman"/>
          <w:b w:val="1"/>
          <w:color w:val="000000"/>
          <w:sz w:val="28"/>
        </w:rPr>
        <w:t>вые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логические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действия</w:t>
      </w:r>
      <w:r>
        <w:rPr>
          <w:rFonts w:ascii="Times New Roman" w:hAnsi="Times New Roman"/>
          <w:b w:val="1"/>
          <w:color w:val="000000"/>
          <w:sz w:val="28"/>
        </w:rPr>
        <w:t>:</w:t>
      </w:r>
    </w:p>
    <w:p w14:paraId="6E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</w:t>
      </w:r>
      <w:r>
        <w:rPr>
          <w:rFonts w:ascii="Times New Roman" w:hAnsi="Times New Roman"/>
          <w:color w:val="000000"/>
          <w:sz w:val="28"/>
        </w:rPr>
        <w:t xml:space="preserve"> критерии проводимого анализа;</w:t>
      </w:r>
    </w:p>
    <w:p w14:paraId="6F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0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</w:t>
      </w:r>
      <w:r>
        <w:rPr>
          <w:rFonts w:ascii="Times New Roman" w:hAnsi="Times New Roman"/>
          <w:color w:val="000000"/>
          <w:sz w:val="28"/>
        </w:rPr>
        <w:t>утверждениях, предлагать критерии для выявления закономерностей и противоречий;</w:t>
      </w:r>
    </w:p>
    <w:p w14:paraId="71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2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</w:t>
      </w:r>
      <w:r>
        <w:rPr>
          <w:rFonts w:ascii="Times New Roman" w:hAnsi="Times New Roman"/>
          <w:color w:val="000000"/>
          <w:sz w:val="28"/>
        </w:rPr>
        <w:t xml:space="preserve">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r>
        <w:rPr>
          <w:rFonts w:ascii="Times New Roman" w:hAnsi="Times New Roman"/>
          <w:color w:val="000000"/>
          <w:sz w:val="28"/>
        </w:rPr>
        <w:t>контрпримеры</w:t>
      </w:r>
      <w:r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14:paraId="73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</w:t>
      </w:r>
      <w:r>
        <w:rPr>
          <w:rFonts w:ascii="Times New Roman" w:hAnsi="Times New Roman"/>
          <w:color w:val="000000"/>
          <w:sz w:val="28"/>
        </w:rPr>
        <w:t>ов решения, выбирать наиболее подходящий с учётом самостоятельно выделенных критериев).</w:t>
      </w:r>
    </w:p>
    <w:p w14:paraId="74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исследовательские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5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</w:t>
      </w:r>
      <w:r>
        <w:rPr>
          <w:rFonts w:ascii="Times New Roman" w:hAnsi="Times New Roman"/>
          <w:color w:val="000000"/>
          <w:sz w:val="28"/>
        </w:rPr>
        <w:t>ельно устанавливать искомое и данное, формировать гипотезу, аргументировать свою позицию, мнение;</w:t>
      </w:r>
    </w:p>
    <w:p w14:paraId="76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</w:t>
      </w:r>
      <w:r>
        <w:rPr>
          <w:rFonts w:ascii="Times New Roman" w:hAnsi="Times New Roman"/>
          <w:color w:val="000000"/>
          <w:sz w:val="28"/>
        </w:rPr>
        <w:t>ей объектов между собой;</w:t>
      </w:r>
    </w:p>
    <w:p w14:paraId="77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8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возможное развитие процесса, а также </w:t>
      </w:r>
      <w:r>
        <w:rPr>
          <w:rFonts w:ascii="Times New Roman" w:hAnsi="Times New Roman"/>
          <w:color w:val="000000"/>
          <w:sz w:val="28"/>
        </w:rPr>
        <w:t>выдвигать предположения о его развитии в новых условиях.</w:t>
      </w:r>
    </w:p>
    <w:p w14:paraId="7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</w:t>
      </w:r>
      <w:r>
        <w:rPr>
          <w:rFonts w:ascii="Times New Roman" w:hAnsi="Times New Roman"/>
          <w:b w:val="1"/>
          <w:color w:val="000000"/>
          <w:sz w:val="28"/>
        </w:rPr>
        <w:t xml:space="preserve"> с </w:t>
      </w:r>
      <w:r>
        <w:rPr>
          <w:rFonts w:ascii="Times New Roman" w:hAnsi="Times New Roman"/>
          <w:b w:val="1"/>
          <w:color w:val="000000"/>
          <w:sz w:val="28"/>
        </w:rPr>
        <w:t>информацией</w:t>
      </w:r>
      <w:r>
        <w:rPr>
          <w:rFonts w:ascii="Times New Roman" w:hAnsi="Times New Roman"/>
          <w:b w:val="1"/>
          <w:color w:val="000000"/>
          <w:sz w:val="28"/>
        </w:rPr>
        <w:t>:</w:t>
      </w:r>
    </w:p>
    <w:p w14:paraId="7A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7B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</w:t>
      </w:r>
      <w:r>
        <w:rPr>
          <w:rFonts w:ascii="Times New Roman" w:hAnsi="Times New Roman"/>
          <w:color w:val="000000"/>
          <w:sz w:val="28"/>
        </w:rPr>
        <w:t>дов и форм представления;</w:t>
      </w:r>
    </w:p>
    <w:p w14:paraId="7C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D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</w:t>
      </w:r>
      <w:r>
        <w:rPr>
          <w:rFonts w:ascii="Times New Roman" w:hAnsi="Times New Roman"/>
          <w:color w:val="000000"/>
          <w:sz w:val="28"/>
        </w:rPr>
        <w:t>о.</w:t>
      </w:r>
    </w:p>
    <w:p w14:paraId="7E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универсальные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учебные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действия</w:t>
      </w:r>
      <w:r>
        <w:rPr>
          <w:rFonts w:ascii="Times New Roman" w:hAnsi="Times New Roman"/>
          <w:b w:val="1"/>
          <w:color w:val="000000"/>
          <w:sz w:val="28"/>
        </w:rPr>
        <w:t>:</w:t>
      </w:r>
    </w:p>
    <w:p w14:paraId="7F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</w:t>
      </w:r>
      <w:r>
        <w:rPr>
          <w:rFonts w:ascii="Times New Roman" w:hAnsi="Times New Roman"/>
          <w:color w:val="000000"/>
          <w:sz w:val="28"/>
        </w:rPr>
        <w:t>омментировать полученный результат;</w:t>
      </w:r>
    </w:p>
    <w:p w14:paraId="80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</w:t>
      </w:r>
      <w:r>
        <w:rPr>
          <w:rFonts w:ascii="Times New Roman" w:hAnsi="Times New Roman"/>
          <w:color w:val="000000"/>
          <w:sz w:val="28"/>
        </w:rPr>
        <w:t>азличие и сходство позиций, в корректной форме формулировать разногласия, свои возражения;</w:t>
      </w:r>
    </w:p>
    <w:p w14:paraId="81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</w:t>
      </w:r>
      <w:r>
        <w:rPr>
          <w:rFonts w:ascii="Times New Roman" w:hAnsi="Times New Roman"/>
          <w:color w:val="000000"/>
          <w:sz w:val="28"/>
        </w:rPr>
        <w:t>итории;</w:t>
      </w:r>
    </w:p>
    <w:p w14:paraId="82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83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</w:t>
      </w:r>
      <w:r>
        <w:rPr>
          <w:rFonts w:ascii="Times New Roman" w:hAnsi="Times New Roman"/>
          <w:color w:val="000000"/>
          <w:sz w:val="28"/>
        </w:rPr>
        <w:t>процесс и результат работы, обобщать мнения нескольких людей;</w:t>
      </w:r>
    </w:p>
    <w:p w14:paraId="84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</w:t>
      </w:r>
      <w:r>
        <w:rPr>
          <w:rFonts w:ascii="Times New Roman" w:hAnsi="Times New Roman"/>
          <w:color w:val="000000"/>
          <w:sz w:val="28"/>
        </w:rPr>
        <w:t>ство своего вклада в общий продукт по критериям, сформулированным участниками взаимодействия.</w:t>
      </w:r>
    </w:p>
    <w:p w14:paraId="85000000">
      <w:pPr>
        <w:spacing w:after="0" w:line="264" w:lineRule="auto"/>
        <w:ind w:firstLine="0" w:left="120"/>
        <w:jc w:val="both"/>
      </w:pPr>
    </w:p>
    <w:p w14:paraId="86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87000000">
      <w:pPr>
        <w:spacing w:after="0" w:line="264" w:lineRule="auto"/>
        <w:ind w:firstLine="0" w:left="120"/>
        <w:jc w:val="both"/>
      </w:pPr>
    </w:p>
    <w:p w14:paraId="88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89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план, алгоритм решения задачи (или его часть), выбирать способ решения с </w:t>
      </w:r>
      <w:r>
        <w:rPr>
          <w:rFonts w:ascii="Times New Roman" w:hAnsi="Times New Roman"/>
          <w:color w:val="000000"/>
          <w:sz w:val="28"/>
        </w:rPr>
        <w:t>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8A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</w:t>
      </w:r>
      <w:r>
        <w:rPr>
          <w:rFonts w:ascii="Times New Roman" w:hAnsi="Times New Roman"/>
          <w:b w:val="1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color w:val="000000"/>
          <w:sz w:val="28"/>
        </w:rPr>
        <w:t>эмоциональный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интеллект</w:t>
      </w:r>
      <w:r>
        <w:rPr>
          <w:rFonts w:ascii="Times New Roman" w:hAnsi="Times New Roman"/>
          <w:b w:val="1"/>
          <w:color w:val="000000"/>
          <w:sz w:val="28"/>
        </w:rPr>
        <w:t>:</w:t>
      </w:r>
    </w:p>
    <w:p w14:paraId="8B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</w:t>
      </w:r>
      <w:r>
        <w:rPr>
          <w:rFonts w:ascii="Times New Roman" w:hAnsi="Times New Roman"/>
          <w:color w:val="000000"/>
          <w:sz w:val="28"/>
        </w:rPr>
        <w:t>кой задачи;</w:t>
      </w:r>
    </w:p>
    <w:p w14:paraId="8C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8D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</w:t>
      </w:r>
      <w:r>
        <w:rPr>
          <w:rFonts w:ascii="Times New Roman" w:hAnsi="Times New Roman"/>
          <w:color w:val="000000"/>
          <w:sz w:val="28"/>
        </w:rPr>
        <w:t xml:space="preserve">условиям, объяснять причины достижения или </w:t>
      </w:r>
      <w:r>
        <w:rPr>
          <w:rFonts w:ascii="Times New Roman" w:hAnsi="Times New Roman"/>
          <w:color w:val="000000"/>
          <w:sz w:val="28"/>
        </w:rPr>
        <w:t>недостижения</w:t>
      </w:r>
      <w:r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14:paraId="8E000000">
      <w:pPr>
        <w:spacing w:after="0" w:line="264" w:lineRule="auto"/>
        <w:ind w:firstLine="0" w:left="120"/>
        <w:jc w:val="both"/>
      </w:pPr>
    </w:p>
    <w:p w14:paraId="8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90000000">
      <w:pPr>
        <w:spacing w:after="0" w:line="264" w:lineRule="auto"/>
        <w:ind w:firstLine="0" w:left="120"/>
        <w:jc w:val="both"/>
      </w:pP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14:paraId="9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информацию, представленную в </w:t>
      </w:r>
      <w:r>
        <w:rPr>
          <w:rFonts w:ascii="Times New Roman" w:hAnsi="Times New Roman"/>
          <w:color w:val="000000"/>
          <w:sz w:val="28"/>
        </w:rPr>
        <w:t>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9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9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</w:t>
      </w:r>
      <w:r>
        <w:rPr>
          <w:rFonts w:ascii="Times New Roman" w:hAnsi="Times New Roman"/>
          <w:color w:val="000000"/>
          <w:sz w:val="28"/>
        </w:rPr>
        <w:t>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9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</w:t>
      </w:r>
      <w:r>
        <w:rPr>
          <w:rFonts w:ascii="Times New Roman" w:hAnsi="Times New Roman"/>
          <w:color w:val="000000"/>
          <w:sz w:val="28"/>
        </w:rPr>
        <w:t xml:space="preserve"> о статистической устойчивости.</w:t>
      </w:r>
    </w:p>
    <w:p w14:paraId="9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14:paraId="9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</w:r>
      <w:r>
        <w:rPr>
          <w:rFonts w:ascii="Times New Roman" w:hAnsi="Times New Roman"/>
          <w:color w:val="000000"/>
          <w:sz w:val="28"/>
        </w:rPr>
        <w:t>.</w:t>
      </w:r>
    </w:p>
    <w:p w14:paraId="9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9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14:paraId="9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веро</w:t>
      </w:r>
      <w:r>
        <w:rPr>
          <w:rFonts w:ascii="Times New Roman" w:hAnsi="Times New Roman"/>
          <w:color w:val="000000"/>
          <w:sz w:val="28"/>
        </w:rPr>
        <w:t>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9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Оперировать понят</w:t>
      </w:r>
      <w:r>
        <w:rPr>
          <w:rFonts w:ascii="Times New Roman" w:hAnsi="Times New Roman"/>
          <w:color w:val="000000"/>
          <w:sz w:val="28"/>
        </w:rPr>
        <w:t>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9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графическое представление множеств и связей между ними для описания процессов </w:t>
      </w:r>
      <w:r>
        <w:rPr>
          <w:rFonts w:ascii="Times New Roman" w:hAnsi="Times New Roman"/>
          <w:color w:val="000000"/>
          <w:sz w:val="28"/>
        </w:rPr>
        <w:t>и явлений, в том числе при решении задач из других учебных предметов и курсов.</w:t>
      </w:r>
    </w:p>
    <w:p w14:paraId="9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14:paraId="9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</w:t>
      </w:r>
      <w:r>
        <w:rPr>
          <w:rFonts w:ascii="Times New Roman" w:hAnsi="Times New Roman"/>
          <w:color w:val="000000"/>
          <w:sz w:val="28"/>
        </w:rPr>
        <w:t>грамм, графиков, представлять данные в виде таблиц, диаграмм, графиков.</w:t>
      </w:r>
    </w:p>
    <w:p w14:paraId="A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 w14:paraId="A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описательные характеристики для массивов числовых данных, в том </w:t>
      </w:r>
      <w:r>
        <w:rPr>
          <w:rFonts w:ascii="Times New Roman" w:hAnsi="Times New Roman"/>
          <w:color w:val="000000"/>
          <w:sz w:val="28"/>
        </w:rPr>
        <w:t>числе средние значения и меры рассеивания.</w:t>
      </w:r>
    </w:p>
    <w:p w14:paraId="A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A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</w:t>
      </w:r>
      <w:r>
        <w:rPr>
          <w:rFonts w:ascii="Times New Roman" w:hAnsi="Times New Roman"/>
          <w:color w:val="000000"/>
          <w:sz w:val="28"/>
        </w:rPr>
        <w:t xml:space="preserve"> элементарными событиями, в сериях испытаний до первого успеха, в сериях испытаний Бернулли.</w:t>
      </w:r>
    </w:p>
    <w:p w14:paraId="A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14:paraId="A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законе больших чисел как о проявлении закономерности в случайной </w:t>
      </w:r>
      <w:r>
        <w:rPr>
          <w:rFonts w:ascii="Times New Roman" w:hAnsi="Times New Roman"/>
          <w:color w:val="000000"/>
          <w:sz w:val="28"/>
        </w:rPr>
        <w:t>изменчивости и о роли закона больших чисел в природе и обществе.</w:t>
      </w:r>
    </w:p>
    <w:p w14:paraId="A6000000">
      <w:pPr>
        <w:sectPr>
          <w:pgSz w:h="16383" w:w="11906"/>
          <w:pgMar w:bottom="1134" w:footer="720" w:gutter="0" w:header="720" w:left="1701" w:right="850" w:top="1134"/>
        </w:sectPr>
      </w:pPr>
    </w:p>
    <w:p w14:paraId="A7000000">
      <w:pPr>
        <w:spacing w:after="0"/>
        <w:ind w:firstLine="0" w:left="120"/>
      </w:pPr>
      <w:bookmarkStart w:id="8" w:name="block-5181231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A8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179"/>
        <w:gridCol w:w="4532"/>
        <w:gridCol w:w="1598"/>
        <w:gridCol w:w="1841"/>
        <w:gridCol w:w="1910"/>
        <w:gridCol w:w="2788"/>
      </w:tblGrid>
      <w:tr>
        <w:trPr>
          <w:trHeight w:hRule="atLeast" w:val="144"/>
        </w:trPr>
        <w:tc>
          <w:tcPr>
            <w:tcW w:type="dxa" w:w="1179"/>
            <w:vMerge w:val="restart"/>
            <w:tcMar>
              <w:top w:type="dxa" w:w="50"/>
              <w:left w:type="dxa" w:w="100"/>
            </w:tcMar>
            <w:vAlign w:val="center"/>
          </w:tcPr>
          <w:p w14:paraId="A9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AA000000">
            <w:pPr>
              <w:spacing w:after="0"/>
              <w:ind w:firstLine="0" w:left="135"/>
            </w:pPr>
          </w:p>
        </w:tc>
        <w:tc>
          <w:tcPr>
            <w:tcW w:type="dxa" w:w="4532"/>
            <w:vMerge w:val="restart"/>
            <w:tcMar>
              <w:top w:type="dxa" w:w="50"/>
              <w:left w:type="dxa" w:w="100"/>
            </w:tcMar>
            <w:vAlign w:val="center"/>
          </w:tcPr>
          <w:p w14:paraId="AB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C000000">
            <w:pPr>
              <w:spacing w:after="0"/>
              <w:ind w:firstLine="0" w:left="135"/>
            </w:pPr>
          </w:p>
        </w:tc>
        <w:tc>
          <w:tcPr>
            <w:tcW w:type="dxa" w:w="5349"/>
            <w:gridSpan w:val="3"/>
            <w:tcMar>
              <w:top w:type="dxa" w:w="50"/>
              <w:left w:type="dxa" w:w="100"/>
            </w:tcMar>
            <w:vAlign w:val="center"/>
          </w:tcPr>
          <w:p w14:paraId="AD00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788"/>
            <w:vMerge w:val="restart"/>
            <w:tcMar>
              <w:top w:type="dxa" w:w="50"/>
              <w:left w:type="dxa" w:w="100"/>
            </w:tcMar>
            <w:vAlign w:val="center"/>
          </w:tcPr>
          <w:p w14:paraId="AE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F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3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B0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B100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B300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B5000000">
            <w:pPr>
              <w:spacing w:after="0"/>
              <w:ind w:firstLine="0" w:left="135"/>
            </w:pPr>
          </w:p>
        </w:tc>
        <w:tc>
          <w:tcPr>
            <w:tcW w:type="dxa" w:w="278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B6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B7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B8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BB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"https://m.edsoo.ru/7f415fdc"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BC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BD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BE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1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"https://m.edsoo.ru/7f415fdc"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C2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C3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C4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7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"https://m.edsoo.ru/7f415fdc"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C8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C9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CA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CD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"https://m.edsoo.ru/7f415fdc"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CE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CF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D0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1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2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3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"https://m.edsoo.ru/7f415fdc"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D4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D5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D6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9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"https://m.edsoo.ru/7f415fdc"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DA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DB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2788"/>
            <w:tcMar>
              <w:top w:type="dxa" w:w="50"/>
              <w:left w:type="dxa" w:w="100"/>
            </w:tcMar>
            <w:vAlign w:val="center"/>
          </w:tcPr>
          <w:p w14:paraId="DE000000"/>
        </w:tc>
      </w:tr>
    </w:tbl>
    <w:p w14:paraId="DF000000">
      <w:pPr>
        <w:sectPr>
          <w:pgSz w:h="11906" w:w="16383"/>
          <w:pgMar w:bottom="1134" w:footer="720" w:gutter="0" w:header="720" w:left="1701" w:right="850" w:top="1134"/>
        </w:sectPr>
      </w:pPr>
    </w:p>
    <w:p w14:paraId="E0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179"/>
        <w:gridCol w:w="4532"/>
        <w:gridCol w:w="1598"/>
        <w:gridCol w:w="1841"/>
        <w:gridCol w:w="1910"/>
        <w:gridCol w:w="2800"/>
      </w:tblGrid>
      <w:tr>
        <w:trPr>
          <w:trHeight w:hRule="atLeast" w:val="144"/>
        </w:trPr>
        <w:tc>
          <w:tcPr>
            <w:tcW w:type="dxa" w:w="1179"/>
            <w:vMerge w:val="restart"/>
            <w:tcMar>
              <w:top w:type="dxa" w:w="50"/>
              <w:left w:type="dxa" w:w="100"/>
            </w:tcMar>
            <w:vAlign w:val="center"/>
          </w:tcPr>
          <w:p w14:paraId="E1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E2000000">
            <w:pPr>
              <w:spacing w:after="0"/>
              <w:ind w:firstLine="0" w:left="135"/>
            </w:pPr>
          </w:p>
        </w:tc>
        <w:tc>
          <w:tcPr>
            <w:tcW w:type="dxa" w:w="4532"/>
            <w:vMerge w:val="restart"/>
            <w:tcMar>
              <w:top w:type="dxa" w:w="50"/>
              <w:left w:type="dxa" w:w="100"/>
            </w:tcMar>
            <w:vAlign w:val="center"/>
          </w:tcPr>
          <w:p w14:paraId="E3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4000000">
            <w:pPr>
              <w:spacing w:after="0"/>
              <w:ind w:firstLine="0" w:left="135"/>
            </w:pPr>
          </w:p>
        </w:tc>
        <w:tc>
          <w:tcPr>
            <w:tcW w:type="dxa" w:w="5349"/>
            <w:gridSpan w:val="3"/>
            <w:tcMar>
              <w:top w:type="dxa" w:w="50"/>
              <w:left w:type="dxa" w:w="100"/>
            </w:tcMar>
            <w:vAlign w:val="center"/>
          </w:tcPr>
          <w:p w14:paraId="E500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800"/>
            <w:vMerge w:val="restart"/>
            <w:tcMar>
              <w:top w:type="dxa" w:w="50"/>
              <w:left w:type="dxa" w:w="100"/>
            </w:tcMar>
            <w:vAlign w:val="center"/>
          </w:tcPr>
          <w:p w14:paraId="E6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7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3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E8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900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B00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ED000000">
            <w:pPr>
              <w:spacing w:after="0"/>
              <w:ind w:firstLine="0" w:left="135"/>
            </w:pPr>
          </w:p>
        </w:tc>
        <w:tc>
          <w:tcPr>
            <w:tcW w:type="dxa" w:w="28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EE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EF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F0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F3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"https://m.edsoo.ru/7f417fb2"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F4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F5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F6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F9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"https://m.edsoo.ru/7f417fb2"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FA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FB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FC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FF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"https://m.edsoo.ru/7f417fb2"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0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0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0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0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"https://m.edsoo.ru/7f417fb2"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0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0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0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0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"https://m.edsoo.ru/7f417fb2"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0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0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0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1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"https://m.edsoo.ru/7f417fb2"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1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1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1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1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"https://m.edsoo.ru/7f417fb2"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1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1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00"/>
            <w:tcMar>
              <w:top w:type="dxa" w:w="50"/>
              <w:left w:type="dxa" w:w="100"/>
            </w:tcMar>
            <w:vAlign w:val="center"/>
          </w:tcPr>
          <w:p w14:paraId="1C010000"/>
        </w:tc>
      </w:tr>
    </w:tbl>
    <w:p w14:paraId="1D010000">
      <w:pPr>
        <w:sectPr>
          <w:pgSz w:h="11906" w:w="16383"/>
          <w:pgMar w:bottom="1134" w:footer="720" w:gutter="0" w:header="720" w:left="1701" w:right="850" w:top="1134"/>
        </w:sectPr>
      </w:pPr>
    </w:p>
    <w:p w14:paraId="1E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9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179"/>
        <w:gridCol w:w="4532"/>
        <w:gridCol w:w="1598"/>
        <w:gridCol w:w="1841"/>
        <w:gridCol w:w="1910"/>
        <w:gridCol w:w="2824"/>
      </w:tblGrid>
      <w:tr>
        <w:trPr>
          <w:trHeight w:hRule="atLeast" w:val="144"/>
        </w:trPr>
        <w:tc>
          <w:tcPr>
            <w:tcW w:type="dxa" w:w="1179"/>
            <w:vMerge w:val="restart"/>
            <w:tcMar>
              <w:top w:type="dxa" w:w="50"/>
              <w:left w:type="dxa" w:w="100"/>
            </w:tcMar>
            <w:vAlign w:val="center"/>
          </w:tcPr>
          <w:p w14:paraId="1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0010000">
            <w:pPr>
              <w:spacing w:after="0"/>
              <w:ind w:firstLine="0" w:left="135"/>
            </w:pPr>
          </w:p>
        </w:tc>
        <w:tc>
          <w:tcPr>
            <w:tcW w:type="dxa" w:w="4532"/>
            <w:vMerge w:val="restart"/>
            <w:tcMar>
              <w:top w:type="dxa" w:w="50"/>
              <w:left w:type="dxa" w:w="100"/>
            </w:tcMar>
            <w:vAlign w:val="center"/>
          </w:tcPr>
          <w:p w14:paraId="2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22010000">
            <w:pPr>
              <w:spacing w:after="0"/>
              <w:ind w:firstLine="0" w:left="135"/>
            </w:pPr>
          </w:p>
        </w:tc>
        <w:tc>
          <w:tcPr>
            <w:tcW w:type="dxa" w:w="5349"/>
            <w:gridSpan w:val="3"/>
            <w:tcMar>
              <w:top w:type="dxa" w:w="50"/>
              <w:left w:type="dxa" w:w="100"/>
            </w:tcMar>
            <w:vAlign w:val="center"/>
          </w:tcPr>
          <w:p w14:paraId="23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824"/>
            <w:vMerge w:val="restart"/>
            <w:tcMar>
              <w:top w:type="dxa" w:w="50"/>
              <w:left w:type="dxa" w:w="100"/>
            </w:tcMar>
            <w:vAlign w:val="center"/>
          </w:tcPr>
          <w:p w14:paraId="2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25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3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2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27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29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2B010000">
            <w:pPr>
              <w:spacing w:after="0"/>
              <w:ind w:firstLine="0" w:left="135"/>
            </w:pPr>
          </w:p>
        </w:tc>
        <w:tc>
          <w:tcPr>
            <w:tcW w:type="dxa" w:w="282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2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2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2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"https://m.edsoo.ru/7f41a302"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3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3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3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"https://m.edsoo.ru/7f41a302"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3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3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"https://m.edsoo.ru/7f41a302"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"https://m.edsoo.ru/7f41a302"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"https://m.edsoo.ru/7f41a302"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"https://m.edsoo.ru/7f41a302"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54010000"/>
        </w:tc>
      </w:tr>
    </w:tbl>
    <w:p w14:paraId="55010000">
      <w:pPr>
        <w:sectPr>
          <w:pgSz w:h="11906" w:w="16383"/>
          <w:pgMar w:bottom="1134" w:footer="720" w:gutter="0" w:header="720" w:left="1701" w:right="850" w:top="1134"/>
        </w:sectPr>
      </w:pPr>
    </w:p>
    <w:p w14:paraId="56010000">
      <w:pPr>
        <w:spacing w:after="0"/>
        <w:ind w:firstLine="0" w:left="120"/>
      </w:pPr>
      <w:bookmarkStart w:id="9" w:name="block-5181232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57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981"/>
        <w:gridCol w:w="3812"/>
        <w:gridCol w:w="1212"/>
        <w:gridCol w:w="1841"/>
        <w:gridCol w:w="1910"/>
        <w:gridCol w:w="1423"/>
        <w:gridCol w:w="2861"/>
      </w:tblGrid>
      <w:tr>
        <w:trPr>
          <w:trHeight w:hRule="atLeast" w:val="144"/>
        </w:trPr>
        <w:tc>
          <w:tcPr>
            <w:tcW w:type="dxa" w:w="981"/>
            <w:vMerge w:val="restart"/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59010000">
            <w:pPr>
              <w:spacing w:after="0"/>
              <w:ind w:firstLine="0" w:left="135"/>
            </w:pPr>
          </w:p>
        </w:tc>
        <w:tc>
          <w:tcPr>
            <w:tcW w:type="dxa" w:w="3812"/>
            <w:vMerge w:val="restart"/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5B010000">
            <w:pPr>
              <w:spacing w:after="0"/>
              <w:ind w:firstLine="0" w:left="135"/>
            </w:pPr>
          </w:p>
        </w:tc>
        <w:tc>
          <w:tcPr>
            <w:tcW w:type="dxa" w:w="4963"/>
            <w:gridSpan w:val="3"/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5E010000">
            <w:pPr>
              <w:spacing w:after="0"/>
              <w:ind w:firstLine="0" w:left="135"/>
            </w:pPr>
          </w:p>
        </w:tc>
        <w:tc>
          <w:tcPr>
            <w:tcW w:type="dxa" w:w="2861"/>
            <w:vMerge w:val="restart"/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60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1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62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64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6601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6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"https://m.edsoo.ru/863ec1f8"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"https://m.edsoo.ru/863ec324"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t>324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</w:t>
            </w:r>
            <w:r>
              <w:rPr>
                <w:rFonts w:ascii="Times New Roman" w:hAnsi="Times New Roman"/>
                <w:color w:val="000000"/>
                <w:sz w:val="24"/>
              </w:rPr>
              <w:t>и интерпретация табличных данных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"https://m.edsoo.ru/863ec78e"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Графическое представление данных в виде круговых, </w:t>
            </w:r>
            <w:r>
              <w:rPr>
                <w:rFonts w:ascii="Times New Roman" w:hAnsi="Times New Roman"/>
                <w:color w:val="000000"/>
                <w:sz w:val="24"/>
              </w:rPr>
              <w:t>столбиковых (столбчатых) диаграмм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"https://m.edsoo.ru/863ed18e"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"https://m.edsoo.ru/863ed602"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602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"https://m.edsoo.ru/863ed72e"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"https://m.edsoo.ru/863ed846"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"https://m.edsoo.ru/863ed846"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"https://m.edsoo.ru/863edb3e"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edb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"https://m.edsoo.ru/863edc6a"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"https://m.edsoo.ru/863ee07a"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"https://m.edsoo.ru/863ee390"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t>390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"https://m.edsoo.ru/863ee4bc"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"https://m.edsoo.ru/863ee69c"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"https://m.edsoo.ru/863ee9d0"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"https://m.edsoo.ru/863eee1c"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eee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"https://m.edsoo.ru/863eecc8"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eecc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"https://m.edsoo.ru/863eef52"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eef</w:t>
            </w:r>
            <w:r>
              <w:rPr>
                <w:rFonts w:ascii="Times New Roman" w:hAnsi="Times New Roman"/>
                <w:color w:val="0000FF"/>
                <w:u w:val="single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"https://m.edsoo.ru/863ef0ba"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"https://m.edsoo.ru/863ef236"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236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"https://m.edsoo.ru/863ef3b2"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"https://m.edsoo.ru/863ef4d4"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"https://m.edsoo.ru/863ef646"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646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Монета и игральная кость в теории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"https://m.edsoo.ru/863ef8a8"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"https://m.edsoo.ru/863f0186"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0186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"https://m.edsoo.ru/863efa24"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efa</w:t>
            </w:r>
            <w:r>
              <w:rPr>
                <w:rFonts w:ascii="Times New Roman" w:hAnsi="Times New Roman"/>
                <w:color w:val="0000FF"/>
                <w:u w:val="single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"https://m.edsoo.ru/863efbaa"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efbaa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1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812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"https://m.edsoo.ru/863efec0"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efec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793"/>
            <w:gridSpan w:val="2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4284"/>
            <w:gridSpan w:val="2"/>
            <w:tcMar>
              <w:top w:type="dxa" w:w="50"/>
              <w:left w:type="dxa" w:w="100"/>
            </w:tcMar>
            <w:vAlign w:val="center"/>
          </w:tcPr>
          <w:p w14:paraId="59020000"/>
        </w:tc>
      </w:tr>
    </w:tbl>
    <w:p w14:paraId="5A020000">
      <w:pPr>
        <w:sectPr>
          <w:pgSz w:h="11906" w:w="16383"/>
          <w:pgMar w:bottom="1134" w:footer="720" w:gutter="0" w:header="720" w:left="1701" w:right="850" w:top="1134"/>
        </w:sectPr>
      </w:pPr>
    </w:p>
    <w:p w14:paraId="5B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77"/>
        <w:gridCol w:w="4006"/>
        <w:gridCol w:w="1146"/>
        <w:gridCol w:w="1841"/>
        <w:gridCol w:w="1910"/>
        <w:gridCol w:w="1423"/>
        <w:gridCol w:w="2837"/>
      </w:tblGrid>
      <w:tr>
        <w:trPr>
          <w:trHeight w:hRule="atLeast" w:val="144"/>
        </w:trPr>
        <w:tc>
          <w:tcPr>
            <w:tcW w:type="dxa" w:w="877"/>
            <w:vMerge w:val="restart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5D020000">
            <w:pPr>
              <w:spacing w:after="0"/>
              <w:ind w:firstLine="0" w:left="135"/>
            </w:pPr>
          </w:p>
        </w:tc>
        <w:tc>
          <w:tcPr>
            <w:tcW w:type="dxa" w:w="4006"/>
            <w:vMerge w:val="restart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5F020000">
            <w:pPr>
              <w:spacing w:after="0"/>
              <w:ind w:firstLine="0" w:left="135"/>
            </w:pPr>
          </w:p>
        </w:tc>
        <w:tc>
          <w:tcPr>
            <w:tcW w:type="dxa" w:w="4897"/>
            <w:gridSpan w:val="3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62020000">
            <w:pPr>
              <w:spacing w:after="0"/>
              <w:ind w:firstLine="0" w:left="135"/>
            </w:pP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6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00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66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68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6A02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"https://m.edsoo.ru/863f029e"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числового набора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"https://m.edsoo.ru/863f03fc"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"https://m.edsoo.ru/863f0578"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0578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"https://m.edsoo.ru/863f076c"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"https://m.edsoo.ru/863f0a50"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"https://m.edsoo.ru/863f0a50"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"https://m.edsoo.ru/863f0bfe"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"https://m.edsoo.ru/863f0ea6"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"https://m.edsoo.ru/863f1180"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1180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Операции над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множествами: объединение, пересечение, дополнение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"https://m.edsoo.ru/863f143c"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операций над множествами: переместительное, сочетательное, распределительное, </w:t>
            </w:r>
            <w:r>
              <w:rPr>
                <w:rFonts w:ascii="Times New Roman" w:hAnsi="Times New Roman"/>
                <w:color w:val="000000"/>
                <w:sz w:val="24"/>
              </w:rPr>
              <w:t>включения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"https://m.edsoo.ru/863f1784"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1784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"https://m.edsoo.ru/863f198c"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"https://m.edsoo.ru/863f1dec"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"https://m.edsoo.ru/863f1dec"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событий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"https://m.edsoo.ru/863f1f72"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"https://m.edsoo.ru/863f21ca"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"https://m.edsoo.ru/863f21ca"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"https://m.edsoo.ru/863f235a"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235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"https://m.edsoo.ru/863f2a4e"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t>пути, существование висячей вершины, связь между числом вершин и числом рёбер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"https://m.edsoo.ru/863f2bac"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"https://m.edsoo.ru/863f2cd8"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"https://m.edsoo.ru/863f2e36"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"https://m.edsoo.ru/863f2f8a"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Диаграмма Эйлера. Объединение и пересечение </w:t>
            </w:r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"https://m.edsoo.ru/863f3214"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3214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"https://m.edsoo.ru/863f3372"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3372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"https://m.edsoo.ru/863f3764"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3764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"https://m.edsoo.ru/863f38ae"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"https://m.edsoo.ru/863f3b06"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"https://m.edsoo.ru/863f3cbe"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случайного эксперимента в виде дерева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"https://m.edsoo.ru/863f3f20"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"https://m.edsoo.ru/863f4128"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"https://m.edsoo.ru/863f4312"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4312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006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4883"/>
            <w:gridSpan w:val="2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46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4260"/>
            <w:gridSpan w:val="2"/>
            <w:tcMar>
              <w:top w:type="dxa" w:w="50"/>
              <w:left w:type="dxa" w:w="100"/>
            </w:tcMar>
            <w:vAlign w:val="center"/>
          </w:tcPr>
          <w:p w14:paraId="5D030000"/>
        </w:tc>
      </w:tr>
    </w:tbl>
    <w:p w14:paraId="5E030000">
      <w:pPr>
        <w:sectPr>
          <w:pgSz w:h="11906" w:w="16383"/>
          <w:pgMar w:bottom="1134" w:footer="720" w:gutter="0" w:header="720" w:left="1701" w:right="850" w:top="1134"/>
        </w:sectPr>
      </w:pPr>
    </w:p>
    <w:p w14:paraId="5F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9 КЛАСС </w:t>
      </w:r>
    </w:p>
    <w:tbl>
      <w:tblPr>
        <w:tblInd w:type="dxa" w:w="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896"/>
        <w:gridCol w:w="4149"/>
        <w:gridCol w:w="1254"/>
        <w:gridCol w:w="1841"/>
        <w:gridCol w:w="1910"/>
        <w:gridCol w:w="1288"/>
        <w:gridCol w:w="2702"/>
      </w:tblGrid>
      <w:tr>
        <w:trPr>
          <w:trHeight w:hRule="atLeast" w:val="144"/>
        </w:trPr>
        <w:tc>
          <w:tcPr>
            <w:tcW w:type="dxa" w:w="896"/>
            <w:vMerge w:val="restart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1030000">
            <w:pPr>
              <w:spacing w:after="0"/>
              <w:ind w:firstLine="0" w:left="135"/>
            </w:pPr>
          </w:p>
        </w:tc>
        <w:tc>
          <w:tcPr>
            <w:tcW w:type="dxa" w:w="4149"/>
            <w:vMerge w:val="restart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63030000">
            <w:pPr>
              <w:spacing w:after="0"/>
              <w:ind w:firstLine="0" w:left="135"/>
            </w:pPr>
          </w:p>
        </w:tc>
        <w:tc>
          <w:tcPr>
            <w:tcW w:type="dxa" w:w="5005"/>
            <w:gridSpan w:val="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288"/>
            <w:vMerge w:val="restart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66030000">
            <w:pPr>
              <w:spacing w:after="0"/>
              <w:ind w:firstLine="0" w:left="135"/>
            </w:pPr>
          </w:p>
        </w:tc>
        <w:tc>
          <w:tcPr>
            <w:tcW w:type="dxa" w:w="2702"/>
            <w:vMerge w:val="restart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6"/>
            <w:gridSpan w:val="1"/>
            <w:vMerge w:val="continue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4149"/>
            <w:gridSpan w:val="1"/>
            <w:vMerge w:val="continue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6A03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6C03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6E030000">
            <w:pPr>
              <w:spacing w:after="0"/>
              <w:ind w:firstLine="0" w:left="135"/>
            </w:pPr>
          </w:p>
        </w:tc>
        <w:tc>
          <w:tcPr>
            <w:tcW w:type="dxa" w:w="1288"/>
            <w:gridSpan w:val="1"/>
            <w:vMerge w:val="continue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702"/>
            <w:gridSpan w:val="1"/>
            <w:vMerge w:val="continue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"https://m.edsoo.ru/863f47ea"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47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"https://m.edsoo.ru/863f47ea"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47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"https://m.edsoo.ru/863f4e16"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"https://m.edsoo.ru/863f4e16"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"https://m.edsoo.ru/863f5208"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5208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"https://m.edsoo.ru/863f5884"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5884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"https://m.edsoo.ru/863f5a50"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"https://m.edsoo.ru/863f5014"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5014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"https://m.edsoo.ru/863f5bfe"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"https://m.edsoo.ru/863f5e10"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"https://m.edsoo.ru/863f6162"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6162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"https://m.edsoo.ru/863f6356"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6356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"https://m.edsoo.ru/863f64d2"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"https://m.edsoo.ru/863f6680"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6680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"https://m.edsoo.ru/863f67de"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"https://m.edsoo.ru/863f6b44"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"https://m.edsoo.ru/863f6da6"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"https://m.edsoo.ru/863f6f86"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"https://m.edsoo.ru/863f72c4"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"https://m.edsoo.ru/863f7652"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7652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"https://m.edsoo.ru/863f7116"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7116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"https://m.edsoo.ru/863f783c"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783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"https://m.edsoo.ru/863f893a"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40000">
            <w:pPr>
              <w:spacing w:after="0"/>
              <w:ind w:firstLine="0" w:left="135"/>
            </w:pP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"https://m.edsoo.ru/863f7a4e"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40000">
            <w:pPr>
              <w:spacing w:after="0"/>
              <w:ind w:firstLine="0" w:left="135"/>
            </w:pP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"https://m.edsoo.ru/863f7c9c"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40000">
            <w:pPr>
              <w:spacing w:after="0"/>
              <w:ind w:firstLine="0" w:left="135"/>
            </w:pP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"https://m.edsoo.ru/863f7e54"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40000">
            <w:pPr>
              <w:spacing w:after="0"/>
              <w:ind w:firstLine="0" w:left="135"/>
            </w:pP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"https://m.edsoo.ru/863f8408"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8408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40000">
            <w:pPr>
              <w:spacing w:after="0"/>
              <w:ind w:firstLine="0" w:left="135"/>
            </w:pP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"https://m.edsoo.ru/863f861a"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861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40000">
            <w:pPr>
              <w:spacing w:after="0"/>
              <w:ind w:firstLine="0" w:left="135"/>
            </w:pP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"https://m.edsoo.ru/863f8b56"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149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40000">
            <w:pPr>
              <w:spacing w:after="0"/>
              <w:ind w:firstLine="0" w:left="135"/>
            </w:pPr>
          </w:p>
        </w:tc>
        <w:tc>
          <w:tcPr>
            <w:tcW w:type="dxa" w:w="270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045"/>
            <w:gridSpan w:val="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54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3990"/>
            <w:gridSpan w:val="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40000"/>
        </w:tc>
      </w:tr>
    </w:tbl>
    <w:p w14:paraId="62040000">
      <w:pPr>
        <w:sectPr>
          <w:pgSz w:h="11906" w:w="16383"/>
          <w:pgMar w:bottom="1134" w:footer="720" w:gutter="0" w:header="720" w:left="1701" w:right="850" w:top="1134"/>
        </w:sectPr>
      </w:pPr>
    </w:p>
    <w:p w14:paraId="63040000">
      <w:pPr>
        <w:sectPr>
          <w:pgSz w:h="11906" w:w="16383"/>
          <w:pgMar w:bottom="1134" w:footer="720" w:gutter="0" w:header="720" w:left="1701" w:right="850" w:top="1134"/>
        </w:sectPr>
      </w:pPr>
    </w:p>
    <w:p w14:paraId="64040000">
      <w:pPr>
        <w:spacing w:after="0"/>
        <w:ind w:firstLine="0" w:left="120"/>
      </w:pPr>
      <w:bookmarkStart w:id="10" w:name="block-5181233"/>
      <w:bookmarkEnd w:id="10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6504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6604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sz w:val="28"/>
        </w:rPr>
        <w:t xml:space="preserve"> И.Р.Высоцкий, И.В.Ященко и др. "Теория вероятностей и статистика", </w:t>
      </w:r>
      <w:r>
        <w:rPr>
          <w:rFonts w:ascii="Times New Roman" w:hAnsi="Times New Roman"/>
          <w:sz w:val="28"/>
        </w:rPr>
        <w:t>М.:Просвещение</w:t>
      </w:r>
      <w:r>
        <w:rPr>
          <w:rFonts w:ascii="Times New Roman" w:hAnsi="Times New Roman"/>
          <w:sz w:val="28"/>
        </w:rPr>
        <w:t>, 2023 год.</w:t>
      </w:r>
    </w:p>
    <w:p w14:paraId="6704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6804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6904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6A04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​‌‌​</w:t>
      </w: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sz w:val="28"/>
        </w:rPr>
        <w:t xml:space="preserve"> И.Р.Высоцкий, И.В.Ященко и др. "Теория вероятностей и статистика", М.: Просвещение, 2023 </w:t>
      </w:r>
    </w:p>
    <w:p w14:paraId="6B04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2.И.Р.Высоцкий, И.В.Ященко "Теория вероятностей и статистика", методическое пособие для учителя М.: Просвещение, 2021 </w:t>
      </w:r>
    </w:p>
    <w:p w14:paraId="6C040000">
      <w:pPr>
        <w:spacing w:after="0"/>
        <w:ind w:firstLine="0" w:left="120"/>
      </w:pPr>
    </w:p>
    <w:p w14:paraId="6D040000">
      <w:pPr>
        <w:spacing w:after="0" w:line="480" w:lineRule="auto"/>
        <w:ind w:firstLine="0" w:left="12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ЦИФРОВЫЕ ОБРАЗОВАТЕЛЬНЫЕ </w:t>
      </w:r>
      <w:r>
        <w:rPr>
          <w:rFonts w:ascii="Times New Roman" w:hAnsi="Times New Roman"/>
          <w:b w:val="1"/>
          <w:color w:val="000000"/>
          <w:sz w:val="28"/>
        </w:rPr>
        <w:t>РЕСУРСЫ И РЕСУРСЫ СЕТИ ИНТЕРНЕТ</w:t>
      </w:r>
    </w:p>
    <w:p w14:paraId="6E04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https</w:t>
      </w:r>
      <w:r>
        <w:rPr>
          <w:rFonts w:ascii="Times New Roman" w:hAnsi="Times New Roman"/>
          <w:sz w:val="28"/>
        </w:rPr>
        <w:t>://</w:t>
      </w:r>
      <w:r>
        <w:rPr>
          <w:rFonts w:ascii="Times New Roman" w:hAnsi="Times New Roman"/>
          <w:sz w:val="28"/>
        </w:rPr>
        <w:t>urok</w:t>
      </w:r>
      <w:r>
        <w:rPr>
          <w:rFonts w:ascii="Times New Roman" w:hAnsi="Times New Roman"/>
          <w:sz w:val="28"/>
        </w:rPr>
        <w:t>.1</w:t>
      </w:r>
      <w:r>
        <w:rPr>
          <w:rFonts w:ascii="Times New Roman" w:hAnsi="Times New Roman"/>
          <w:sz w:val="28"/>
        </w:rPr>
        <w:t>sept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ru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articles</w:t>
      </w:r>
      <w:r>
        <w:rPr>
          <w:rFonts w:ascii="Times New Roman" w:hAnsi="Times New Roman"/>
          <w:sz w:val="28"/>
        </w:rPr>
        <w:t xml:space="preserve">/582818 </w:t>
      </w:r>
      <w:r>
        <w:rPr>
          <w:rFonts w:ascii="Times New Roman" w:hAnsi="Times New Roman"/>
          <w:sz w:val="28"/>
        </w:rPr>
        <w:t>http</w:t>
      </w:r>
      <w:r>
        <w:rPr>
          <w:rFonts w:ascii="Times New Roman" w:hAnsi="Times New Roman"/>
          <w:sz w:val="28"/>
        </w:rPr>
        <w:t>://</w:t>
      </w:r>
      <w:r>
        <w:rPr>
          <w:rFonts w:ascii="Times New Roman" w:hAnsi="Times New Roman"/>
          <w:sz w:val="28"/>
        </w:rPr>
        <w:t>alfusja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bahova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ucoz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ru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load</w:t>
      </w:r>
      <w:r>
        <w:rPr>
          <w:rFonts w:ascii="Times New Roman" w:hAnsi="Times New Roman"/>
          <w:sz w:val="28"/>
        </w:rPr>
        <w:t>/7_</w:t>
      </w:r>
      <w:r>
        <w:rPr>
          <w:rFonts w:ascii="Times New Roman" w:hAnsi="Times New Roman"/>
          <w:sz w:val="28"/>
        </w:rPr>
        <w:t>klass</w:t>
      </w:r>
      <w:r>
        <w:rPr>
          <w:rFonts w:ascii="Times New Roman" w:hAnsi="Times New Roman"/>
          <w:sz w:val="28"/>
        </w:rPr>
        <w:t>/4-3-2</w:t>
      </w:r>
      <w:r>
        <w:rPr>
          <w:rFonts w:ascii="Times New Roman" w:hAnsi="Times New Roman"/>
          <w:sz w:val="28"/>
        </w:rPr>
        <w:t xml:space="preserve"> 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https</w:t>
      </w:r>
      <w:r>
        <w:rPr>
          <w:rFonts w:ascii="Times New Roman" w:hAnsi="Times New Roman"/>
          <w:sz w:val="28"/>
        </w:rPr>
        <w:t>://</w:t>
      </w:r>
      <w:r>
        <w:rPr>
          <w:rFonts w:ascii="Times New Roman" w:hAnsi="Times New Roman"/>
          <w:sz w:val="28"/>
        </w:rPr>
        <w:t>www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mathedu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ru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text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bunimovich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bulychev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osnovy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statistiki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veroyatnost</w:t>
      </w:r>
      <w:r>
        <w:rPr>
          <w:rFonts w:ascii="Times New Roman" w:hAnsi="Times New Roman"/>
          <w:sz w:val="28"/>
        </w:rPr>
        <w:t>_5-11_2008/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  <w:sz w:val="28"/>
        </w:rPr>
        <w:t xml:space="preserve">0/ </w:t>
      </w:r>
      <w:r>
        <w:rPr>
          <w:rFonts w:ascii="Times New Roman" w:hAnsi="Times New Roman"/>
          <w:sz w:val="28"/>
        </w:rPr>
        <w:t>https</w:t>
      </w:r>
      <w:r>
        <w:rPr>
          <w:rFonts w:ascii="Times New Roman" w:hAnsi="Times New Roman"/>
          <w:sz w:val="28"/>
        </w:rPr>
        <w:t>://</w:t>
      </w:r>
      <w:r>
        <w:rPr>
          <w:rFonts w:ascii="Times New Roman" w:hAnsi="Times New Roman"/>
          <w:sz w:val="28"/>
        </w:rPr>
        <w:t>education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yandex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ru</w:t>
      </w:r>
      <w:r>
        <w:rPr>
          <w:rFonts w:ascii="Times New Roman" w:hAnsi="Times New Roman"/>
          <w:sz w:val="28"/>
        </w:rPr>
        <w:t xml:space="preserve">/ </w:t>
      </w:r>
    </w:p>
    <w:p w14:paraId="6F04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>https</w:t>
      </w:r>
      <w:r>
        <w:rPr>
          <w:rFonts w:ascii="Times New Roman" w:hAnsi="Times New Roman"/>
          <w:sz w:val="28"/>
        </w:rPr>
        <w:t>://</w:t>
      </w:r>
      <w:r>
        <w:rPr>
          <w:rFonts w:ascii="Times New Roman" w:hAnsi="Times New Roman"/>
          <w:sz w:val="28"/>
        </w:rPr>
        <w:t>uchi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ru</w:t>
      </w:r>
      <w:r>
        <w:rPr>
          <w:rFonts w:ascii="Times New Roman" w:hAnsi="Times New Roman"/>
          <w:sz w:val="28"/>
        </w:rPr>
        <w:t xml:space="preserve">/ </w:t>
      </w:r>
      <w:r>
        <w:rPr>
          <w:rFonts w:ascii="Times New Roman" w:hAnsi="Times New Roman"/>
          <w:sz w:val="28"/>
        </w:rPr>
        <w:t>https</w:t>
      </w:r>
      <w:r>
        <w:rPr>
          <w:rFonts w:ascii="Times New Roman" w:hAnsi="Times New Roman"/>
          <w:sz w:val="28"/>
        </w:rPr>
        <w:t>://</w:t>
      </w:r>
      <w:r>
        <w:rPr>
          <w:rFonts w:ascii="Times New Roman" w:hAnsi="Times New Roman"/>
          <w:sz w:val="28"/>
        </w:rPr>
        <w:t>www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yaklass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ru</w:t>
      </w:r>
      <w:r>
        <w:rPr>
          <w:rFonts w:ascii="Times New Roman" w:hAnsi="Times New Roman"/>
          <w:sz w:val="28"/>
        </w:rPr>
        <w:t xml:space="preserve">/ </w:t>
      </w:r>
      <w:r>
        <w:rPr>
          <w:rFonts w:ascii="Times New Roman" w:hAnsi="Times New Roman"/>
          <w:sz w:val="28"/>
        </w:rPr>
        <w:t>https</w:t>
      </w:r>
      <w:r>
        <w:rPr>
          <w:rFonts w:ascii="Times New Roman" w:hAnsi="Times New Roman"/>
          <w:sz w:val="28"/>
        </w:rPr>
        <w:t>://</w:t>
      </w:r>
      <w:r>
        <w:rPr>
          <w:rFonts w:ascii="Times New Roman" w:hAnsi="Times New Roman"/>
          <w:sz w:val="28"/>
        </w:rPr>
        <w:t>math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oge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sdamgia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ru</w:t>
      </w:r>
      <w:r>
        <w:rPr>
          <w:rFonts w:ascii="Times New Roman" w:hAnsi="Times New Roman"/>
          <w:sz w:val="28"/>
        </w:rPr>
        <w:t xml:space="preserve">/ </w:t>
      </w: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>https</w:t>
      </w:r>
      <w:r>
        <w:rPr>
          <w:rFonts w:ascii="Times New Roman" w:hAnsi="Times New Roman"/>
          <w:sz w:val="28"/>
        </w:rPr>
        <w:t>://</w:t>
      </w:r>
      <w:r>
        <w:rPr>
          <w:rFonts w:ascii="Times New Roman" w:hAnsi="Times New Roman"/>
          <w:sz w:val="28"/>
        </w:rPr>
        <w:t>edu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skysmart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ru</w:t>
      </w:r>
      <w:r>
        <w:rPr>
          <w:rFonts w:ascii="Times New Roman" w:hAnsi="Times New Roman"/>
          <w:sz w:val="28"/>
        </w:rPr>
        <w:t xml:space="preserve">/ </w:t>
      </w:r>
      <w:r>
        <w:rPr>
          <w:rFonts w:ascii="Times New Roman" w:hAnsi="Times New Roman"/>
          <w:sz w:val="28"/>
        </w:rPr>
        <w:t>https</w:t>
      </w:r>
      <w:r>
        <w:rPr>
          <w:rFonts w:ascii="Times New Roman" w:hAnsi="Times New Roman"/>
          <w:sz w:val="28"/>
        </w:rPr>
        <w:t>://</w:t>
      </w:r>
      <w:r>
        <w:rPr>
          <w:rFonts w:ascii="Times New Roman" w:hAnsi="Times New Roman"/>
          <w:sz w:val="28"/>
        </w:rPr>
        <w:t>resh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edu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ru</w:t>
      </w:r>
    </w:p>
    <w:p w14:paraId="70040000">
      <w:pPr>
        <w:spacing w:after="0" w:line="480" w:lineRule="auto"/>
        <w:ind w:firstLine="0" w:left="120"/>
      </w:pPr>
    </w:p>
    <w:p w14:paraId="7104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72040000">
      <w:pPr>
        <w:sectPr>
          <w:pgSz w:h="16383" w:w="11906"/>
          <w:pgMar w:bottom="1134" w:footer="720" w:gutter="0" w:header="720" w:left="1701" w:right="850" w:top="1134"/>
        </w:sectPr>
      </w:pPr>
    </w:p>
    <w:p w14:paraId="7304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786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000000"/>
    </w:rPr>
  </w:style>
  <w:style w:styleId="Style_8" w:type="paragraph">
    <w:name w:val="FollowedHyperlink"/>
    <w:basedOn w:val="Style_9"/>
    <w:link w:val="Style_8_ch"/>
    <w:rPr>
      <w:color w:themeColor="followedHyperlink" w:val="000000"/>
      <w:u w:val="single"/>
    </w:rPr>
  </w:style>
  <w:style w:styleId="Style_8_ch" w:type="character">
    <w:name w:val="FollowedHyperlink"/>
    <w:basedOn w:val="Style_9_ch"/>
    <w:link w:val="Style_8"/>
    <w:rPr>
      <w:color w:themeColor="followedHyperlink" w:val="000000"/>
      <w:u w:val="single"/>
    </w:rPr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Normal Indent"/>
    <w:basedOn w:val="Style_2"/>
    <w:link w:val="Style_11_ch"/>
    <w:pPr>
      <w:ind w:firstLine="0" w:left="720"/>
    </w:pPr>
  </w:style>
  <w:style w:styleId="Style_11_ch" w:type="character">
    <w:name w:val="Normal Indent"/>
    <w:basedOn w:val="Style_2_ch"/>
    <w:link w:val="Style_11"/>
  </w:style>
  <w:style w:styleId="Style_12" w:type="paragraph">
    <w:name w:val="heading 5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3_ch" w:type="character">
    <w:name w:val="heading 1"/>
    <w:basedOn w:val="Style_2_ch"/>
    <w:link w:val="Style_13"/>
    <w:rPr>
      <w:rFonts w:asciiTheme="majorAscii" w:hAnsiTheme="majorHAnsi"/>
      <w:b w:val="1"/>
      <w:color w:themeColor="accent1" w:themeShade="BF" w:val="000000"/>
      <w:sz w:val="28"/>
    </w:rPr>
  </w:style>
  <w:style w:styleId="Style_14" w:type="paragraph">
    <w:name w:val="Hyperlink"/>
    <w:basedOn w:val="Style_9"/>
    <w:link w:val="Style_14_ch"/>
    <w:rPr>
      <w:color w:themeColor="hyperlink" w:val="000000"/>
      <w:u w:val="single"/>
    </w:rPr>
  </w:style>
  <w:style w:styleId="Style_14_ch" w:type="character">
    <w:name w:val="Hyperlink"/>
    <w:basedOn w:val="Style_9_ch"/>
    <w:link w:val="Style_14"/>
    <w:rPr>
      <w:color w:themeColor="hyperlink" w:val="000000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Emphasis"/>
    <w:basedOn w:val="Style_9"/>
    <w:link w:val="Style_19_ch"/>
    <w:rPr>
      <w:i w:val="1"/>
    </w:rPr>
  </w:style>
  <w:style w:styleId="Style_19_ch" w:type="character">
    <w:name w:val="Emphasis"/>
    <w:basedOn w:val="Style_9_ch"/>
    <w:link w:val="Style_19"/>
    <w:rPr>
      <w:i w:val="1"/>
    </w:rPr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caption"/>
    <w:basedOn w:val="Style_2"/>
    <w:next w:val="Style_2"/>
    <w:link w:val="Style_21_ch"/>
    <w:pPr>
      <w:spacing w:line="240" w:lineRule="auto"/>
      <w:ind/>
    </w:pPr>
    <w:rPr>
      <w:b w:val="1"/>
      <w:color w:themeColor="accent1" w:val="000000"/>
      <w:sz w:val="18"/>
    </w:rPr>
  </w:style>
  <w:style w:styleId="Style_21_ch" w:type="character">
    <w:name w:val="caption"/>
    <w:basedOn w:val="Style_2_ch"/>
    <w:link w:val="Style_21"/>
    <w:rPr>
      <w:b w:val="1"/>
      <w:color w:themeColor="accent1" w:val="000000"/>
      <w:sz w:val="18"/>
    </w:rPr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header"/>
    <w:basedOn w:val="Style_2"/>
    <w:link w:val="Style_23_ch"/>
    <w:pPr>
      <w:tabs>
        <w:tab w:leader="none" w:pos="4680" w:val="center"/>
        <w:tab w:leader="none" w:pos="9360" w:val="right"/>
      </w:tabs>
      <w:ind/>
    </w:pPr>
  </w:style>
  <w:style w:styleId="Style_23_ch" w:type="character">
    <w:name w:val="header"/>
    <w:basedOn w:val="Style_2_ch"/>
    <w:link w:val="Style_23"/>
  </w:style>
  <w:style w:styleId="Style_24" w:type="paragraph">
    <w:name w:val="Subtitle"/>
    <w:basedOn w:val="Style_2"/>
    <w:next w:val="Style_2"/>
    <w:link w:val="Style_24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4_ch" w:type="character">
    <w:name w:val="Subtitle"/>
    <w:basedOn w:val="Style_2_ch"/>
    <w:link w:val="Style_24"/>
    <w:rPr>
      <w:rFonts w:asciiTheme="majorAscii" w:hAnsiTheme="majorHAnsi"/>
      <w:i w:val="1"/>
      <w:color w:themeColor="accent1" w:val="000000"/>
      <w:spacing w:val="15"/>
      <w:sz w:val="24"/>
    </w:rPr>
  </w:style>
  <w:style w:styleId="Style_25" w:type="paragraph">
    <w:name w:val="toc 10"/>
    <w:link w:val="Style_25_ch"/>
    <w:uiPriority w:val="39"/>
    <w:pPr>
      <w:ind w:firstLine="0" w:left="1800"/>
    </w:pPr>
  </w:style>
  <w:style w:styleId="Style_25_ch" w:type="character">
    <w:name w:val="toc 10"/>
    <w:link w:val="Style_25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6" w:type="paragraph">
    <w:name w:val="Title"/>
    <w:basedOn w:val="Style_2"/>
    <w:next w:val="Style_2"/>
    <w:link w:val="Style_26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6_ch" w:type="character">
    <w:name w:val="Title"/>
    <w:basedOn w:val="Style_2_ch"/>
    <w:link w:val="Style_26"/>
    <w:rPr>
      <w:rFonts w:asciiTheme="majorAscii" w:hAnsiTheme="majorHAnsi"/>
      <w:color w:themeColor="text2" w:themeShade="BF" w:val="000000"/>
      <w:spacing w:val="5"/>
      <w:sz w:val="52"/>
    </w:rPr>
  </w:style>
  <w:style w:styleId="Style_27" w:type="paragraph">
    <w:name w:val="heading 4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7_ch" w:type="character">
    <w:name w:val="heading 4"/>
    <w:basedOn w:val="Style_2_ch"/>
    <w:link w:val="Style_27"/>
    <w:rPr>
      <w:rFonts w:asciiTheme="majorAscii" w:hAnsiTheme="majorHAnsi"/>
      <w:b w:val="1"/>
      <w:i w:val="1"/>
      <w:color w:themeColor="accent1" w:val="000000"/>
    </w:rPr>
  </w:style>
  <w:style w:styleId="Style_28" w:type="paragraph">
    <w:name w:val="heading 2"/>
    <w:basedOn w:val="Style_2"/>
    <w:next w:val="Style_2"/>
    <w:link w:val="Style_28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8_ch" w:type="character">
    <w:name w:val="heading 2"/>
    <w:basedOn w:val="Style_2_ch"/>
    <w:link w:val="Style_28"/>
    <w:rPr>
      <w:rFonts w:asciiTheme="majorAscii" w:hAnsiTheme="majorHAnsi"/>
      <w:b w:val="1"/>
      <w:color w:themeColor="accent1" w:val="000000"/>
      <w:sz w:val="26"/>
    </w:rPr>
  </w:style>
  <w:style w:styleId="Style_29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